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6D5804">
      <w:pPr>
        <w:ind w:firstLine="0" w:firstLineChars="0"/>
        <w:outlineLvl w:val="0"/>
        <w:rPr>
          <w:rFonts w:hint="eastAsia" w:ascii="仿宋" w:hAnsi="仿宋" w:eastAsia="仿宋"/>
          <w:b/>
          <w:sz w:val="24"/>
          <w:szCs w:val="24"/>
          <w:lang w:val="en-US" w:eastAsia="zh-CN"/>
        </w:rPr>
      </w:pPr>
      <w:bookmarkStart w:id="0" w:name="_Toc11076830"/>
      <w:bookmarkStart w:id="1" w:name="_Toc163465809"/>
      <w:bookmarkStart w:id="2" w:name="_Toc389013536"/>
      <w:bookmarkStart w:id="3" w:name="_Toc11846"/>
      <w:bookmarkStart w:id="4" w:name="_Toc26846203"/>
      <w:r>
        <w:rPr>
          <w:rFonts w:hint="eastAsia" w:ascii="仿宋" w:hAnsi="仿宋" w:eastAsia="仿宋"/>
          <w:b/>
          <w:sz w:val="24"/>
          <w:szCs w:val="24"/>
        </w:rPr>
        <w:t>附件1</w:t>
      </w:r>
      <w:r>
        <w:rPr>
          <w:rFonts w:ascii="仿宋" w:hAnsi="仿宋" w:eastAsia="仿宋"/>
          <w:b/>
          <w:sz w:val="24"/>
          <w:szCs w:val="24"/>
        </w:rPr>
        <w:t>报价</w:t>
      </w:r>
      <w:r>
        <w:rPr>
          <w:rFonts w:hint="eastAsia" w:ascii="仿宋" w:hAnsi="仿宋" w:eastAsia="仿宋"/>
          <w:b/>
          <w:sz w:val="24"/>
          <w:szCs w:val="24"/>
          <w:lang w:val="en-US" w:eastAsia="zh-CN"/>
        </w:rPr>
        <w:t>函</w:t>
      </w:r>
    </w:p>
    <w:p w14:paraId="6EC48F2D">
      <w:pPr>
        <w:ind w:firstLine="0" w:firstLineChars="0"/>
        <w:jc w:val="center"/>
        <w:outlineLvl w:val="0"/>
        <w:rPr>
          <w:rFonts w:hint="eastAsia" w:ascii="仿宋" w:hAnsi="仿宋" w:eastAsia="仿宋"/>
          <w:b/>
          <w:sz w:val="32"/>
          <w:szCs w:val="32"/>
          <w:lang w:eastAsia="zh-CN"/>
        </w:rPr>
      </w:pPr>
      <w:r>
        <w:rPr>
          <w:rFonts w:ascii="仿宋" w:hAnsi="仿宋" w:eastAsia="仿宋"/>
          <w:b/>
          <w:sz w:val="32"/>
          <w:szCs w:val="32"/>
        </w:rPr>
        <w:t>报价</w:t>
      </w:r>
      <w:bookmarkEnd w:id="0"/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函</w:t>
      </w:r>
    </w:p>
    <w:p w14:paraId="2E8A247A">
      <w:pPr>
        <w:keepNext/>
        <w:keepLines/>
        <w:ind w:firstLine="0" w:firstLineChars="0"/>
        <w:jc w:val="left"/>
        <w:outlineLvl w:val="1"/>
        <w:rPr>
          <w:rFonts w:ascii="仿宋" w:hAnsi="仿宋" w:eastAsia="仿宋"/>
          <w:b/>
          <w:bCs/>
          <w:kern w:val="0"/>
          <w:szCs w:val="21"/>
        </w:rPr>
      </w:pPr>
      <w:bookmarkStart w:id="5" w:name="_Toc11076831"/>
      <w:bookmarkStart w:id="6" w:name="_Toc500433235"/>
      <w:r>
        <w:rPr>
          <w:rFonts w:ascii="仿宋" w:hAnsi="仿宋" w:eastAsia="仿宋"/>
          <w:b/>
          <w:bCs/>
          <w:kern w:val="0"/>
          <w:szCs w:val="21"/>
        </w:rPr>
        <w:t>1. 报价说明</w:t>
      </w:r>
      <w:bookmarkEnd w:id="5"/>
      <w:bookmarkEnd w:id="6"/>
    </w:p>
    <w:p w14:paraId="3FC6F318">
      <w:pPr>
        <w:rPr>
          <w:rFonts w:ascii="仿宋" w:hAnsi="仿宋" w:eastAsia="仿宋"/>
          <w:szCs w:val="21"/>
        </w:rPr>
      </w:pPr>
      <w:r>
        <w:rPr>
          <w:rFonts w:ascii="仿宋" w:hAnsi="仿宋" w:eastAsia="仿宋"/>
          <w:szCs w:val="21"/>
        </w:rPr>
        <w:t>（1）报价均为完成</w:t>
      </w:r>
      <w:r>
        <w:rPr>
          <w:rFonts w:hint="eastAsia" w:ascii="仿宋" w:hAnsi="仿宋" w:eastAsia="仿宋"/>
          <w:szCs w:val="21"/>
        </w:rPr>
        <w:t>询价函</w:t>
      </w:r>
      <w:r>
        <w:rPr>
          <w:rFonts w:ascii="仿宋" w:hAnsi="仿宋" w:eastAsia="仿宋"/>
          <w:szCs w:val="21"/>
        </w:rPr>
        <w:t>内容规定的所有任务的报价汇总。供应商应依据本文件的规定进行报价计算并填写本表。</w:t>
      </w:r>
    </w:p>
    <w:p w14:paraId="0986772F">
      <w:pPr>
        <w:rPr>
          <w:rFonts w:ascii="仿宋" w:hAnsi="仿宋" w:eastAsia="仿宋"/>
          <w:szCs w:val="21"/>
        </w:rPr>
      </w:pPr>
      <w:r>
        <w:rPr>
          <w:rFonts w:ascii="仿宋" w:hAnsi="仿宋" w:eastAsia="仿宋"/>
          <w:szCs w:val="21"/>
        </w:rPr>
        <w:t>（2）除合同另有规定外，</w:t>
      </w:r>
      <w:r>
        <w:rPr>
          <w:rFonts w:hint="eastAsia" w:ascii="仿宋" w:hAnsi="仿宋" w:eastAsia="仿宋"/>
          <w:szCs w:val="21"/>
        </w:rPr>
        <w:t>报价</w:t>
      </w:r>
      <w:r>
        <w:rPr>
          <w:rFonts w:ascii="仿宋" w:hAnsi="仿宋" w:eastAsia="仿宋"/>
          <w:szCs w:val="21"/>
        </w:rPr>
        <w:t>总价应包括供应商为完成本合同规定的工作所承担的全部费用，包括成本、税金、利润等，并考虑了应由供应商承担的义务、责任和风险所发生的全部费用。凡填报不完整的项目报价视同</w:t>
      </w:r>
      <w:r>
        <w:rPr>
          <w:rFonts w:hint="eastAsia" w:ascii="仿宋" w:hAnsi="仿宋" w:eastAsia="仿宋"/>
          <w:szCs w:val="21"/>
          <w:lang w:val="en-US" w:eastAsia="zh-CN"/>
        </w:rPr>
        <w:t>包</w:t>
      </w:r>
      <w:r>
        <w:rPr>
          <w:rFonts w:ascii="仿宋" w:hAnsi="仿宋" w:eastAsia="仿宋"/>
          <w:szCs w:val="21"/>
        </w:rPr>
        <w:t>含在报价中，合同执行中不再调整。</w:t>
      </w:r>
    </w:p>
    <w:p w14:paraId="0CCC8698">
      <w:pPr>
        <w:rPr>
          <w:rFonts w:ascii="仿宋" w:hAnsi="仿宋" w:eastAsia="仿宋"/>
          <w:szCs w:val="21"/>
        </w:rPr>
      </w:pPr>
      <w:r>
        <w:rPr>
          <w:rFonts w:ascii="仿宋" w:hAnsi="仿宋" w:eastAsia="仿宋"/>
          <w:szCs w:val="21"/>
        </w:rPr>
        <w:t>（3）报价组成由供应商自主列明细，格式自拟。</w:t>
      </w:r>
    </w:p>
    <w:p w14:paraId="080484C8">
      <w:pPr>
        <w:keepNext/>
        <w:keepLines/>
        <w:ind w:firstLine="0" w:firstLineChars="0"/>
        <w:jc w:val="left"/>
        <w:outlineLvl w:val="1"/>
        <w:rPr>
          <w:rFonts w:ascii="仿宋" w:hAnsi="仿宋" w:eastAsia="仿宋"/>
          <w:b/>
          <w:bCs/>
          <w:kern w:val="0"/>
          <w:szCs w:val="21"/>
        </w:rPr>
      </w:pPr>
      <w:bookmarkStart w:id="7" w:name="_Toc11076832"/>
      <w:bookmarkStart w:id="8" w:name="_Toc500433236"/>
      <w:r>
        <w:rPr>
          <w:rFonts w:ascii="仿宋" w:hAnsi="仿宋" w:eastAsia="仿宋"/>
          <w:b/>
          <w:bCs/>
          <w:kern w:val="0"/>
          <w:szCs w:val="21"/>
        </w:rPr>
        <w:t>2. 报价汇总表</w:t>
      </w:r>
      <w:bookmarkEnd w:id="7"/>
      <w:bookmarkEnd w:id="8"/>
    </w:p>
    <w:p w14:paraId="459B5775">
      <w:pPr>
        <w:tabs>
          <w:tab w:val="left" w:pos="1260"/>
        </w:tabs>
        <w:adjustRightInd/>
        <w:snapToGrid/>
        <w:spacing w:line="240" w:lineRule="auto"/>
        <w:ind w:firstLine="0" w:firstLineChars="0"/>
        <w:rPr>
          <w:rFonts w:ascii="仿宋" w:hAnsi="仿宋" w:eastAsia="仿宋"/>
          <w:szCs w:val="21"/>
        </w:rPr>
      </w:pPr>
      <w:r>
        <w:rPr>
          <w:rFonts w:ascii="仿宋" w:hAnsi="仿宋" w:eastAsia="仿宋"/>
          <w:szCs w:val="21"/>
        </w:rPr>
        <w:tab/>
      </w:r>
    </w:p>
    <w:p w14:paraId="7C0D0601">
      <w:pPr>
        <w:adjustRightInd/>
        <w:ind w:firstLine="0" w:firstLineChars="0"/>
        <w:jc w:val="center"/>
        <w:rPr>
          <w:rFonts w:ascii="仿宋" w:hAnsi="仿宋" w:eastAsia="仿宋"/>
          <w:b/>
          <w:snapToGrid w:val="0"/>
          <w:kern w:val="0"/>
          <w:sz w:val="24"/>
        </w:rPr>
      </w:pPr>
      <w:r>
        <w:rPr>
          <w:rFonts w:ascii="仿宋" w:hAnsi="仿宋" w:eastAsia="仿宋"/>
          <w:b/>
          <w:snapToGrid w:val="0"/>
          <w:kern w:val="0"/>
          <w:sz w:val="24"/>
        </w:rPr>
        <w:t>报价汇总表</w:t>
      </w:r>
    </w:p>
    <w:tbl>
      <w:tblPr>
        <w:tblStyle w:val="5"/>
        <w:tblW w:w="87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85"/>
        <w:gridCol w:w="6175"/>
      </w:tblGrid>
      <w:tr w14:paraId="2FCBD7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5" w:hRule="atLeast"/>
        </w:trPr>
        <w:tc>
          <w:tcPr>
            <w:tcW w:w="2585" w:type="dxa"/>
            <w:vAlign w:val="center"/>
          </w:tcPr>
          <w:p w14:paraId="20CC2466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bCs/>
                <w:szCs w:val="21"/>
              </w:rPr>
            </w:pPr>
            <w:r>
              <w:rPr>
                <w:rFonts w:ascii="仿宋" w:hAnsi="仿宋" w:eastAsia="仿宋"/>
                <w:bCs/>
                <w:szCs w:val="21"/>
              </w:rPr>
              <w:t>总价（</w:t>
            </w:r>
            <w:r>
              <w:rPr>
                <w:rFonts w:ascii="仿宋" w:hAnsi="仿宋" w:eastAsia="仿宋"/>
                <w:szCs w:val="21"/>
              </w:rPr>
              <w:t>人民币</w:t>
            </w:r>
            <w:r>
              <w:rPr>
                <w:rFonts w:ascii="仿宋" w:hAnsi="仿宋" w:eastAsia="仿宋"/>
                <w:bCs/>
                <w:szCs w:val="21"/>
              </w:rPr>
              <w:t>）</w:t>
            </w:r>
          </w:p>
        </w:tc>
        <w:tc>
          <w:tcPr>
            <w:tcW w:w="6175" w:type="dxa"/>
            <w:vAlign w:val="center"/>
          </w:tcPr>
          <w:p w14:paraId="462C03A0">
            <w:pPr>
              <w:adjustRightInd/>
              <w:spacing w:line="480" w:lineRule="auto"/>
              <w:ind w:firstLine="0" w:firstLineChars="0"/>
              <w:rPr>
                <w:rFonts w:ascii="仿宋" w:hAnsi="仿宋" w:eastAsia="仿宋"/>
                <w:szCs w:val="21"/>
                <w:u w:val="single"/>
              </w:rPr>
            </w:pPr>
            <w:r>
              <w:rPr>
                <w:rFonts w:ascii="仿宋" w:hAnsi="仿宋" w:eastAsia="仿宋"/>
                <w:szCs w:val="21"/>
              </w:rPr>
              <w:t>（大写）：</w:t>
            </w:r>
            <w:r>
              <w:rPr>
                <w:rFonts w:ascii="仿宋" w:hAnsi="仿宋" w:eastAsia="仿宋"/>
                <w:szCs w:val="21"/>
                <w:u w:val="single"/>
              </w:rPr>
              <w:t xml:space="preserve">             </w:t>
            </w:r>
          </w:p>
          <w:p w14:paraId="094BD549">
            <w:pPr>
              <w:adjustRightInd/>
              <w:spacing w:line="480" w:lineRule="auto"/>
              <w:ind w:firstLine="0" w:firstLineChars="0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（小写）：</w:t>
            </w:r>
            <w:r>
              <w:rPr>
                <w:rFonts w:ascii="仿宋" w:hAnsi="仿宋" w:eastAsia="仿宋"/>
                <w:szCs w:val="21"/>
                <w:u w:val="single"/>
              </w:rPr>
              <w:t xml:space="preserve">             </w:t>
            </w:r>
            <w:r>
              <w:rPr>
                <w:rFonts w:ascii="仿宋" w:hAnsi="仿宋" w:eastAsia="仿宋"/>
                <w:szCs w:val="21"/>
              </w:rPr>
              <w:t>元</w:t>
            </w:r>
          </w:p>
        </w:tc>
      </w:tr>
      <w:tr w14:paraId="4997EA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</w:trPr>
        <w:tc>
          <w:tcPr>
            <w:tcW w:w="2585" w:type="dxa"/>
            <w:vAlign w:val="center"/>
          </w:tcPr>
          <w:p w14:paraId="0E2C3696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bCs/>
                <w:szCs w:val="21"/>
              </w:rPr>
            </w:pPr>
            <w:r>
              <w:rPr>
                <w:rFonts w:ascii="仿宋" w:hAnsi="仿宋" w:eastAsia="仿宋"/>
                <w:bCs/>
                <w:szCs w:val="21"/>
              </w:rPr>
              <w:t>备注</w:t>
            </w:r>
          </w:p>
        </w:tc>
        <w:tc>
          <w:tcPr>
            <w:tcW w:w="6175" w:type="dxa"/>
            <w:vAlign w:val="center"/>
          </w:tcPr>
          <w:p w14:paraId="5E0EB2A4">
            <w:pPr>
              <w:adjustRightInd/>
              <w:spacing w:line="240" w:lineRule="auto"/>
              <w:ind w:firstLine="0" w:firstLineChars="0"/>
              <w:rPr>
                <w:rFonts w:ascii="仿宋" w:hAnsi="仿宋" w:eastAsia="仿宋"/>
                <w:szCs w:val="21"/>
              </w:rPr>
            </w:pPr>
          </w:p>
        </w:tc>
      </w:tr>
    </w:tbl>
    <w:p w14:paraId="5DF4E7C1">
      <w:pPr>
        <w:pStyle w:val="7"/>
        <w:rPr>
          <w:rFonts w:hint="default" w:ascii="仿宋" w:hAnsi="仿宋" w:eastAsia="仿宋"/>
          <w:lang w:val="en-US" w:eastAsia="zh-CN"/>
        </w:rPr>
      </w:pPr>
      <w:r>
        <w:rPr>
          <w:rFonts w:hint="eastAsia" w:ascii="仿宋" w:hAnsi="仿宋" w:eastAsia="仿宋"/>
          <w:lang w:val="en-US" w:eastAsia="zh-CN"/>
        </w:rPr>
        <w:t>如非法定代表人签字，请附法人授权书、</w:t>
      </w:r>
      <w:r>
        <w:rPr>
          <w:rFonts w:ascii="仿宋" w:hAnsi="仿宋" w:eastAsia="仿宋"/>
          <w:szCs w:val="21"/>
        </w:rPr>
        <w:t>法定代表人（或授权委托人）</w:t>
      </w:r>
      <w:r>
        <w:rPr>
          <w:rFonts w:hint="eastAsia" w:ascii="仿宋" w:hAnsi="仿宋" w:eastAsia="仿宋"/>
          <w:szCs w:val="21"/>
          <w:lang w:val="en-US" w:eastAsia="zh-CN"/>
        </w:rPr>
        <w:t>身份证复印件。</w:t>
      </w:r>
    </w:p>
    <w:p w14:paraId="1BB54DCE">
      <w:pPr>
        <w:adjustRightInd/>
        <w:snapToGrid/>
        <w:spacing w:line="240" w:lineRule="auto"/>
        <w:rPr>
          <w:rFonts w:ascii="仿宋" w:hAnsi="仿宋" w:eastAsia="仿宋"/>
          <w:szCs w:val="21"/>
        </w:rPr>
      </w:pPr>
    </w:p>
    <w:p w14:paraId="5AF281A7">
      <w:pPr>
        <w:rPr>
          <w:rFonts w:ascii="仿宋" w:hAnsi="仿宋" w:eastAsia="仿宋"/>
          <w:szCs w:val="21"/>
        </w:rPr>
      </w:pPr>
    </w:p>
    <w:p w14:paraId="5C359D4F">
      <w:pPr>
        <w:rPr>
          <w:rFonts w:ascii="仿宋" w:hAnsi="仿宋" w:eastAsia="仿宋"/>
          <w:szCs w:val="21"/>
        </w:rPr>
      </w:pPr>
    </w:p>
    <w:p w14:paraId="7CE82D77">
      <w:pPr>
        <w:ind w:firstLine="2730" w:firstLineChars="1300"/>
        <w:rPr>
          <w:rFonts w:ascii="仿宋" w:hAnsi="仿宋" w:eastAsia="仿宋"/>
          <w:szCs w:val="21"/>
        </w:rPr>
      </w:pPr>
      <w:r>
        <w:rPr>
          <w:rFonts w:ascii="仿宋" w:hAnsi="仿宋" w:eastAsia="仿宋"/>
          <w:szCs w:val="21"/>
        </w:rPr>
        <w:t>供应商：</w:t>
      </w:r>
      <w:r>
        <w:rPr>
          <w:rFonts w:ascii="仿宋" w:hAnsi="仿宋" w:eastAsia="仿宋"/>
          <w:szCs w:val="21"/>
          <w:u w:val="single"/>
        </w:rPr>
        <w:t xml:space="preserve">          单位名称             </w:t>
      </w:r>
      <w:r>
        <w:rPr>
          <w:rFonts w:ascii="仿宋" w:hAnsi="仿宋" w:eastAsia="仿宋"/>
          <w:szCs w:val="21"/>
        </w:rPr>
        <w:t>（公章）</w:t>
      </w:r>
    </w:p>
    <w:p w14:paraId="154BDA58">
      <w:pPr>
        <w:ind w:firstLine="2730" w:firstLineChars="1300"/>
        <w:rPr>
          <w:rFonts w:ascii="仿宋" w:hAnsi="仿宋" w:eastAsia="仿宋"/>
          <w:szCs w:val="21"/>
        </w:rPr>
      </w:pPr>
      <w:r>
        <w:rPr>
          <w:rFonts w:ascii="仿宋" w:hAnsi="仿宋" w:eastAsia="仿宋"/>
          <w:szCs w:val="21"/>
        </w:rPr>
        <w:t>法定代表人（或授权委托人）：</w:t>
      </w:r>
      <w:r>
        <w:rPr>
          <w:rFonts w:ascii="仿宋" w:hAnsi="仿宋" w:eastAsia="仿宋"/>
          <w:szCs w:val="21"/>
          <w:u w:val="single"/>
        </w:rPr>
        <w:t xml:space="preserve">             </w:t>
      </w:r>
      <w:r>
        <w:rPr>
          <w:rFonts w:ascii="仿宋" w:hAnsi="仿宋" w:eastAsia="仿宋"/>
          <w:szCs w:val="21"/>
        </w:rPr>
        <w:t>（签字或盖章）</w:t>
      </w:r>
    </w:p>
    <w:p w14:paraId="6883858F">
      <w:pPr>
        <w:ind w:firstLine="2730" w:firstLineChars="1300"/>
        <w:rPr>
          <w:rFonts w:ascii="仿宋" w:hAnsi="仿宋" w:eastAsia="仿宋"/>
          <w:szCs w:val="21"/>
        </w:rPr>
      </w:pPr>
      <w:r>
        <w:rPr>
          <w:rFonts w:ascii="仿宋" w:hAnsi="仿宋" w:eastAsia="仿宋"/>
          <w:szCs w:val="21"/>
        </w:rPr>
        <w:t>日期：</w:t>
      </w:r>
      <w:r>
        <w:rPr>
          <w:rFonts w:ascii="仿宋" w:hAnsi="仿宋" w:eastAsia="仿宋"/>
          <w:szCs w:val="21"/>
          <w:u w:val="single"/>
        </w:rPr>
        <w:t xml:space="preserve">         </w:t>
      </w:r>
      <w:r>
        <w:rPr>
          <w:rFonts w:ascii="仿宋" w:hAnsi="仿宋" w:eastAsia="仿宋"/>
          <w:szCs w:val="21"/>
        </w:rPr>
        <w:t>年</w:t>
      </w:r>
      <w:r>
        <w:rPr>
          <w:rFonts w:ascii="仿宋" w:hAnsi="仿宋" w:eastAsia="仿宋"/>
          <w:szCs w:val="21"/>
          <w:u w:val="single"/>
        </w:rPr>
        <w:t xml:space="preserve">         </w:t>
      </w:r>
      <w:r>
        <w:rPr>
          <w:rFonts w:ascii="仿宋" w:hAnsi="仿宋" w:eastAsia="仿宋"/>
          <w:szCs w:val="21"/>
        </w:rPr>
        <w:t>月</w:t>
      </w:r>
      <w:r>
        <w:rPr>
          <w:rFonts w:ascii="仿宋" w:hAnsi="仿宋" w:eastAsia="仿宋"/>
          <w:szCs w:val="21"/>
          <w:u w:val="single"/>
        </w:rPr>
        <w:t xml:space="preserve">         </w:t>
      </w:r>
      <w:r>
        <w:rPr>
          <w:rFonts w:ascii="仿宋" w:hAnsi="仿宋" w:eastAsia="仿宋"/>
          <w:szCs w:val="21"/>
        </w:rPr>
        <w:t>日</w:t>
      </w:r>
    </w:p>
    <w:p w14:paraId="574F8329">
      <w:pPr>
        <w:tabs>
          <w:tab w:val="left" w:pos="5540"/>
        </w:tabs>
        <w:rPr>
          <w:rFonts w:ascii="仿宋" w:hAnsi="仿宋" w:eastAsia="仿宋"/>
          <w:szCs w:val="21"/>
        </w:rPr>
      </w:pPr>
      <w:r>
        <w:rPr>
          <w:rFonts w:ascii="仿宋" w:hAnsi="仿宋" w:eastAsia="仿宋"/>
          <w:szCs w:val="21"/>
        </w:rPr>
        <w:tab/>
      </w:r>
      <w:bookmarkEnd w:id="1"/>
    </w:p>
    <w:p w14:paraId="28B7DC21">
      <w:pPr>
        <w:widowControl/>
        <w:adjustRightInd/>
        <w:snapToGrid/>
        <w:spacing w:line="240" w:lineRule="auto"/>
        <w:ind w:firstLine="0" w:firstLineChars="0"/>
        <w:jc w:val="left"/>
        <w:rPr>
          <w:rFonts w:ascii="仿宋" w:hAnsi="仿宋" w:eastAsia="仿宋"/>
          <w:szCs w:val="21"/>
        </w:rPr>
      </w:pPr>
      <w:r>
        <w:rPr>
          <w:rFonts w:ascii="仿宋" w:hAnsi="仿宋" w:eastAsia="仿宋"/>
          <w:szCs w:val="21"/>
        </w:rPr>
        <w:br w:type="page"/>
      </w:r>
    </w:p>
    <w:bookmarkEnd w:id="2"/>
    <w:bookmarkEnd w:id="3"/>
    <w:bookmarkEnd w:id="4"/>
    <w:p w14:paraId="6B2D2365">
      <w:pPr>
        <w:ind w:firstLine="0" w:firstLineChars="0"/>
        <w:rPr>
          <w:rFonts w:ascii="仿宋" w:hAnsi="仿宋" w:eastAsia="仿宋"/>
          <w:szCs w:val="21"/>
        </w:rPr>
      </w:pPr>
      <w:r>
        <w:rPr>
          <w:rFonts w:hint="eastAsia" w:ascii="仿宋" w:hAnsi="仿宋" w:eastAsia="仿宋"/>
          <w:b/>
          <w:snapToGrid w:val="0"/>
          <w:kern w:val="0"/>
          <w:sz w:val="24"/>
        </w:rPr>
        <w:t>附件2</w:t>
      </w:r>
      <w:r>
        <w:rPr>
          <w:rFonts w:ascii="仿宋" w:hAnsi="仿宋" w:eastAsia="仿宋"/>
          <w:b/>
          <w:snapToGrid w:val="0"/>
          <w:kern w:val="0"/>
          <w:sz w:val="24"/>
        </w:rPr>
        <w:t>分项报价表</w:t>
      </w:r>
    </w:p>
    <w:p w14:paraId="7E324BA6">
      <w:pPr>
        <w:adjustRightInd/>
        <w:ind w:firstLine="0" w:firstLineChars="0"/>
        <w:jc w:val="center"/>
        <w:rPr>
          <w:rFonts w:ascii="仿宋" w:hAnsi="仿宋" w:eastAsia="仿宋"/>
          <w:b/>
          <w:snapToGrid w:val="0"/>
          <w:kern w:val="0"/>
          <w:sz w:val="24"/>
        </w:rPr>
      </w:pPr>
      <w:r>
        <w:rPr>
          <w:rFonts w:ascii="仿宋" w:hAnsi="仿宋" w:eastAsia="仿宋"/>
          <w:b/>
          <w:snapToGrid w:val="0"/>
          <w:kern w:val="0"/>
          <w:sz w:val="24"/>
        </w:rPr>
        <w:t>分项报价表</w:t>
      </w:r>
    </w:p>
    <w:tbl>
      <w:tblPr>
        <w:tblStyle w:val="5"/>
        <w:tblW w:w="894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7"/>
        <w:gridCol w:w="1578"/>
        <w:gridCol w:w="2117"/>
        <w:gridCol w:w="1118"/>
        <w:gridCol w:w="1118"/>
        <w:gridCol w:w="1119"/>
        <w:gridCol w:w="1119"/>
      </w:tblGrid>
      <w:tr w14:paraId="651B4A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7" w:type="dxa"/>
            <w:vAlign w:val="center"/>
          </w:tcPr>
          <w:p w14:paraId="64A4246C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序号</w:t>
            </w:r>
          </w:p>
        </w:tc>
        <w:tc>
          <w:tcPr>
            <w:tcW w:w="1578" w:type="dxa"/>
            <w:vAlign w:val="center"/>
          </w:tcPr>
          <w:p w14:paraId="21FC80A7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设备名称</w:t>
            </w:r>
          </w:p>
        </w:tc>
        <w:tc>
          <w:tcPr>
            <w:tcW w:w="2117" w:type="dxa"/>
            <w:vAlign w:val="center"/>
          </w:tcPr>
          <w:p w14:paraId="6BE59F41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规格型号</w:t>
            </w:r>
          </w:p>
        </w:tc>
        <w:tc>
          <w:tcPr>
            <w:tcW w:w="1118" w:type="dxa"/>
            <w:vAlign w:val="center"/>
          </w:tcPr>
          <w:p w14:paraId="20146968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数量</w:t>
            </w:r>
          </w:p>
        </w:tc>
        <w:tc>
          <w:tcPr>
            <w:tcW w:w="1118" w:type="dxa"/>
            <w:vAlign w:val="center"/>
          </w:tcPr>
          <w:p w14:paraId="174E186E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单价</w:t>
            </w:r>
          </w:p>
        </w:tc>
        <w:tc>
          <w:tcPr>
            <w:tcW w:w="1119" w:type="dxa"/>
            <w:vAlign w:val="center"/>
          </w:tcPr>
          <w:p w14:paraId="22F03C3C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合价</w:t>
            </w:r>
          </w:p>
        </w:tc>
        <w:tc>
          <w:tcPr>
            <w:tcW w:w="1119" w:type="dxa"/>
            <w:vAlign w:val="center"/>
          </w:tcPr>
          <w:p w14:paraId="67ABC053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备注</w:t>
            </w:r>
          </w:p>
        </w:tc>
      </w:tr>
      <w:tr w14:paraId="6B45E5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7" w:type="dxa"/>
            <w:vAlign w:val="center"/>
          </w:tcPr>
          <w:p w14:paraId="3566C4AB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一</w:t>
            </w:r>
          </w:p>
        </w:tc>
        <w:tc>
          <w:tcPr>
            <w:tcW w:w="8169" w:type="dxa"/>
            <w:gridSpan w:val="6"/>
            <w:vAlign w:val="center"/>
          </w:tcPr>
          <w:p w14:paraId="69B0EFAB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超声衍射时差法（TOFD）检测仪</w:t>
            </w:r>
          </w:p>
        </w:tc>
      </w:tr>
      <w:tr w14:paraId="715F93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7" w:type="dxa"/>
            <w:shd w:val="clear" w:color="auto" w:fill="auto"/>
            <w:vAlign w:val="center"/>
          </w:tcPr>
          <w:p w14:paraId="25A5EC3D">
            <w:pPr>
              <w:spacing w:line="360" w:lineRule="exact"/>
              <w:ind w:firstLine="0" w:firstLineChars="0"/>
              <w:jc w:val="center"/>
              <w:rPr>
                <w:rFonts w:hint="default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1.1</w:t>
            </w:r>
          </w:p>
        </w:tc>
        <w:tc>
          <w:tcPr>
            <w:tcW w:w="1578" w:type="dxa"/>
            <w:shd w:val="clear" w:color="auto" w:fill="auto"/>
            <w:vAlign w:val="center"/>
          </w:tcPr>
          <w:p w14:paraId="0FF9A6A5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超声衍射时差法（TOFD）检测仪主机</w:t>
            </w:r>
          </w:p>
        </w:tc>
        <w:tc>
          <w:tcPr>
            <w:tcW w:w="2117" w:type="dxa"/>
            <w:shd w:val="clear" w:color="auto" w:fill="auto"/>
            <w:vAlign w:val="center"/>
          </w:tcPr>
          <w:p w14:paraId="00473041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OMNIX4-PATFM1664PR</w:t>
            </w:r>
          </w:p>
        </w:tc>
        <w:tc>
          <w:tcPr>
            <w:tcW w:w="1118" w:type="dxa"/>
            <w:shd w:val="clear" w:color="auto" w:fill="auto"/>
            <w:vAlign w:val="center"/>
          </w:tcPr>
          <w:p w14:paraId="20B9C0B4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2台</w:t>
            </w:r>
          </w:p>
        </w:tc>
        <w:tc>
          <w:tcPr>
            <w:tcW w:w="1118" w:type="dxa"/>
            <w:vAlign w:val="center"/>
          </w:tcPr>
          <w:p w14:paraId="63475484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19" w:type="dxa"/>
            <w:vAlign w:val="center"/>
          </w:tcPr>
          <w:p w14:paraId="6A396D4D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19" w:type="dxa"/>
            <w:vAlign w:val="center"/>
          </w:tcPr>
          <w:p w14:paraId="3489C32C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 w14:paraId="6715AA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7" w:type="dxa"/>
            <w:shd w:val="clear" w:color="auto" w:fill="auto"/>
            <w:vAlign w:val="center"/>
          </w:tcPr>
          <w:p w14:paraId="215A37C3">
            <w:pPr>
              <w:spacing w:line="360" w:lineRule="exact"/>
              <w:ind w:left="0" w:leftChars="0" w:firstLine="210" w:firstLineChars="100"/>
              <w:jc w:val="both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1.2</w:t>
            </w:r>
          </w:p>
        </w:tc>
        <w:tc>
          <w:tcPr>
            <w:tcW w:w="1578" w:type="dxa"/>
            <w:shd w:val="clear" w:color="auto" w:fill="auto"/>
            <w:vAlign w:val="center"/>
          </w:tcPr>
          <w:p w14:paraId="0775DE52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TOFD探头</w:t>
            </w:r>
          </w:p>
        </w:tc>
        <w:tc>
          <w:tcPr>
            <w:tcW w:w="2117" w:type="dxa"/>
            <w:shd w:val="clear" w:color="auto" w:fill="auto"/>
            <w:vAlign w:val="center"/>
          </w:tcPr>
          <w:p w14:paraId="3BE17F89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C563-SM 10MΦ3mm</w:t>
            </w:r>
          </w:p>
        </w:tc>
        <w:tc>
          <w:tcPr>
            <w:tcW w:w="1118" w:type="dxa"/>
            <w:shd w:val="clear" w:color="auto" w:fill="auto"/>
            <w:vAlign w:val="center"/>
          </w:tcPr>
          <w:p w14:paraId="640A40B2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4个</w:t>
            </w:r>
          </w:p>
        </w:tc>
        <w:tc>
          <w:tcPr>
            <w:tcW w:w="1118" w:type="dxa"/>
            <w:vAlign w:val="center"/>
          </w:tcPr>
          <w:p w14:paraId="595A0344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19" w:type="dxa"/>
            <w:vAlign w:val="center"/>
          </w:tcPr>
          <w:p w14:paraId="40B4AB1F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19" w:type="dxa"/>
            <w:vAlign w:val="center"/>
          </w:tcPr>
          <w:p w14:paraId="68450139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 w14:paraId="16AF7E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7" w:type="dxa"/>
            <w:shd w:val="clear" w:color="auto" w:fill="auto"/>
            <w:vAlign w:val="center"/>
          </w:tcPr>
          <w:p w14:paraId="79FBF051">
            <w:pPr>
              <w:spacing w:line="360" w:lineRule="exact"/>
              <w:ind w:left="0" w:leftChars="0" w:firstLine="210" w:firstLineChars="100"/>
              <w:jc w:val="both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1.3</w:t>
            </w:r>
          </w:p>
        </w:tc>
        <w:tc>
          <w:tcPr>
            <w:tcW w:w="1578" w:type="dxa"/>
            <w:shd w:val="clear" w:color="auto" w:fill="auto"/>
            <w:vAlign w:val="center"/>
          </w:tcPr>
          <w:p w14:paraId="62799364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TOFD探头</w:t>
            </w:r>
          </w:p>
        </w:tc>
        <w:tc>
          <w:tcPr>
            <w:tcW w:w="2117" w:type="dxa"/>
            <w:shd w:val="clear" w:color="auto" w:fill="auto"/>
            <w:vAlign w:val="center"/>
          </w:tcPr>
          <w:p w14:paraId="6ACC859C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C543-SM 5MΦ6mm</w:t>
            </w:r>
          </w:p>
        </w:tc>
        <w:tc>
          <w:tcPr>
            <w:tcW w:w="1118" w:type="dxa"/>
            <w:shd w:val="clear" w:color="auto" w:fill="auto"/>
            <w:vAlign w:val="center"/>
          </w:tcPr>
          <w:p w14:paraId="68CB7644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4个</w:t>
            </w:r>
          </w:p>
        </w:tc>
        <w:tc>
          <w:tcPr>
            <w:tcW w:w="1118" w:type="dxa"/>
            <w:vAlign w:val="center"/>
          </w:tcPr>
          <w:p w14:paraId="40A3C560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19" w:type="dxa"/>
            <w:vAlign w:val="center"/>
          </w:tcPr>
          <w:p w14:paraId="5BDC7386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19" w:type="dxa"/>
            <w:vAlign w:val="center"/>
          </w:tcPr>
          <w:p w14:paraId="22627DCD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 w14:paraId="56D5B5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7" w:type="dxa"/>
            <w:shd w:val="clear" w:color="auto" w:fill="auto"/>
            <w:vAlign w:val="center"/>
          </w:tcPr>
          <w:p w14:paraId="613C9FBF">
            <w:pPr>
              <w:spacing w:line="360" w:lineRule="exact"/>
              <w:ind w:left="0" w:leftChars="0" w:firstLine="210" w:firstLineChars="100"/>
              <w:jc w:val="both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1.4</w:t>
            </w:r>
          </w:p>
        </w:tc>
        <w:tc>
          <w:tcPr>
            <w:tcW w:w="1578" w:type="dxa"/>
            <w:shd w:val="clear" w:color="auto" w:fill="auto"/>
            <w:vAlign w:val="center"/>
          </w:tcPr>
          <w:p w14:paraId="4234A24B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TOFD探头线</w:t>
            </w:r>
          </w:p>
        </w:tc>
        <w:tc>
          <w:tcPr>
            <w:tcW w:w="2117" w:type="dxa"/>
            <w:shd w:val="clear" w:color="auto" w:fill="auto"/>
            <w:vAlign w:val="center"/>
          </w:tcPr>
          <w:p w14:paraId="0BEE76B6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LCM-74-6</w:t>
            </w:r>
          </w:p>
        </w:tc>
        <w:tc>
          <w:tcPr>
            <w:tcW w:w="1118" w:type="dxa"/>
            <w:shd w:val="clear" w:color="auto" w:fill="auto"/>
            <w:vAlign w:val="center"/>
          </w:tcPr>
          <w:p w14:paraId="65606632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12根</w:t>
            </w:r>
          </w:p>
        </w:tc>
        <w:tc>
          <w:tcPr>
            <w:tcW w:w="1118" w:type="dxa"/>
            <w:vAlign w:val="center"/>
          </w:tcPr>
          <w:p w14:paraId="7352C4A3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19" w:type="dxa"/>
            <w:vAlign w:val="center"/>
          </w:tcPr>
          <w:p w14:paraId="5230756A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19" w:type="dxa"/>
            <w:vAlign w:val="center"/>
          </w:tcPr>
          <w:p w14:paraId="58CA77B0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 w14:paraId="346B3F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7" w:type="dxa"/>
            <w:shd w:val="clear" w:color="auto" w:fill="auto"/>
            <w:vAlign w:val="center"/>
          </w:tcPr>
          <w:p w14:paraId="3CE6213A">
            <w:pPr>
              <w:spacing w:line="360" w:lineRule="exact"/>
              <w:ind w:left="0" w:leftChars="0" w:firstLine="210" w:firstLineChars="100"/>
              <w:jc w:val="both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1.5</w:t>
            </w:r>
          </w:p>
        </w:tc>
        <w:tc>
          <w:tcPr>
            <w:tcW w:w="1578" w:type="dxa"/>
            <w:shd w:val="clear" w:color="auto" w:fill="auto"/>
            <w:vAlign w:val="center"/>
          </w:tcPr>
          <w:p w14:paraId="6227618C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TOFD楔块</w:t>
            </w:r>
          </w:p>
        </w:tc>
        <w:tc>
          <w:tcPr>
            <w:tcW w:w="2117" w:type="dxa"/>
            <w:shd w:val="clear" w:color="auto" w:fill="auto"/>
            <w:vAlign w:val="center"/>
          </w:tcPr>
          <w:p w14:paraId="48A001AD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ST1-45L-IHS</w:t>
            </w:r>
          </w:p>
        </w:tc>
        <w:tc>
          <w:tcPr>
            <w:tcW w:w="1118" w:type="dxa"/>
            <w:shd w:val="clear" w:color="auto" w:fill="auto"/>
            <w:vAlign w:val="center"/>
          </w:tcPr>
          <w:p w14:paraId="6F8CA2E8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4个</w:t>
            </w:r>
          </w:p>
        </w:tc>
        <w:tc>
          <w:tcPr>
            <w:tcW w:w="1118" w:type="dxa"/>
            <w:vAlign w:val="center"/>
          </w:tcPr>
          <w:p w14:paraId="5FF2F25E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19" w:type="dxa"/>
            <w:vAlign w:val="center"/>
          </w:tcPr>
          <w:p w14:paraId="1856F177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19" w:type="dxa"/>
            <w:vAlign w:val="center"/>
          </w:tcPr>
          <w:p w14:paraId="23F70427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 w14:paraId="7715BC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7" w:type="dxa"/>
            <w:shd w:val="clear" w:color="auto" w:fill="auto"/>
            <w:vAlign w:val="center"/>
          </w:tcPr>
          <w:p w14:paraId="466252D6">
            <w:pPr>
              <w:spacing w:line="360" w:lineRule="exact"/>
              <w:ind w:left="0" w:leftChars="0" w:firstLine="210" w:firstLineChars="100"/>
              <w:jc w:val="both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1.6</w:t>
            </w:r>
          </w:p>
        </w:tc>
        <w:tc>
          <w:tcPr>
            <w:tcW w:w="1578" w:type="dxa"/>
            <w:shd w:val="clear" w:color="auto" w:fill="auto"/>
            <w:vAlign w:val="center"/>
          </w:tcPr>
          <w:p w14:paraId="40A51B41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TOFD楔块</w:t>
            </w:r>
          </w:p>
        </w:tc>
        <w:tc>
          <w:tcPr>
            <w:tcW w:w="2117" w:type="dxa"/>
            <w:shd w:val="clear" w:color="auto" w:fill="auto"/>
            <w:vAlign w:val="center"/>
          </w:tcPr>
          <w:p w14:paraId="2EB47813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ST1-60L-IHS</w:t>
            </w:r>
          </w:p>
        </w:tc>
        <w:tc>
          <w:tcPr>
            <w:tcW w:w="1118" w:type="dxa"/>
            <w:shd w:val="clear" w:color="auto" w:fill="auto"/>
            <w:vAlign w:val="center"/>
          </w:tcPr>
          <w:p w14:paraId="436BC6FA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4个</w:t>
            </w:r>
          </w:p>
        </w:tc>
        <w:tc>
          <w:tcPr>
            <w:tcW w:w="1118" w:type="dxa"/>
            <w:vAlign w:val="center"/>
          </w:tcPr>
          <w:p w14:paraId="3FF29A28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19" w:type="dxa"/>
            <w:vAlign w:val="center"/>
          </w:tcPr>
          <w:p w14:paraId="1954D04C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19" w:type="dxa"/>
            <w:vAlign w:val="center"/>
          </w:tcPr>
          <w:p w14:paraId="793C1F93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 w14:paraId="05EF0C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7" w:type="dxa"/>
            <w:shd w:val="clear" w:color="auto" w:fill="auto"/>
            <w:vAlign w:val="center"/>
          </w:tcPr>
          <w:p w14:paraId="1872BCB1">
            <w:pPr>
              <w:spacing w:line="360" w:lineRule="exact"/>
              <w:ind w:left="0" w:leftChars="0" w:firstLine="210" w:firstLineChars="100"/>
              <w:jc w:val="both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1.7</w:t>
            </w:r>
          </w:p>
        </w:tc>
        <w:tc>
          <w:tcPr>
            <w:tcW w:w="1578" w:type="dxa"/>
            <w:shd w:val="clear" w:color="auto" w:fill="auto"/>
            <w:vAlign w:val="center"/>
          </w:tcPr>
          <w:p w14:paraId="54E67E0C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TOFD楔块</w:t>
            </w:r>
          </w:p>
        </w:tc>
        <w:tc>
          <w:tcPr>
            <w:tcW w:w="2117" w:type="dxa"/>
            <w:shd w:val="clear" w:color="auto" w:fill="auto"/>
            <w:vAlign w:val="center"/>
          </w:tcPr>
          <w:p w14:paraId="1B139090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ST1-70L-IHS</w:t>
            </w:r>
          </w:p>
        </w:tc>
        <w:tc>
          <w:tcPr>
            <w:tcW w:w="1118" w:type="dxa"/>
            <w:shd w:val="clear" w:color="auto" w:fill="auto"/>
            <w:vAlign w:val="center"/>
          </w:tcPr>
          <w:p w14:paraId="50BC2C81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4个</w:t>
            </w:r>
          </w:p>
        </w:tc>
        <w:tc>
          <w:tcPr>
            <w:tcW w:w="1118" w:type="dxa"/>
            <w:vAlign w:val="center"/>
          </w:tcPr>
          <w:p w14:paraId="01F33F79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19" w:type="dxa"/>
            <w:vAlign w:val="center"/>
          </w:tcPr>
          <w:p w14:paraId="3DB869AA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19" w:type="dxa"/>
            <w:vAlign w:val="center"/>
          </w:tcPr>
          <w:p w14:paraId="2FC8428B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 w14:paraId="3759A8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7" w:type="dxa"/>
            <w:shd w:val="clear" w:color="auto" w:fill="auto"/>
            <w:vAlign w:val="center"/>
          </w:tcPr>
          <w:p w14:paraId="61B09322">
            <w:pPr>
              <w:spacing w:line="360" w:lineRule="exact"/>
              <w:ind w:left="0" w:leftChars="0" w:firstLine="210" w:firstLineChars="100"/>
              <w:jc w:val="both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1.8</w:t>
            </w:r>
          </w:p>
        </w:tc>
        <w:tc>
          <w:tcPr>
            <w:tcW w:w="1578" w:type="dxa"/>
            <w:shd w:val="clear" w:color="auto" w:fill="auto"/>
            <w:vAlign w:val="center"/>
          </w:tcPr>
          <w:p w14:paraId="4E5D2494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TOFD扫查架</w:t>
            </w:r>
          </w:p>
        </w:tc>
        <w:tc>
          <w:tcPr>
            <w:tcW w:w="2117" w:type="dxa"/>
            <w:shd w:val="clear" w:color="auto" w:fill="auto"/>
            <w:vAlign w:val="center"/>
          </w:tcPr>
          <w:p w14:paraId="00CF0446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IT-SCS10C新思维</w:t>
            </w:r>
          </w:p>
        </w:tc>
        <w:tc>
          <w:tcPr>
            <w:tcW w:w="1118" w:type="dxa"/>
            <w:shd w:val="clear" w:color="auto" w:fill="auto"/>
            <w:vAlign w:val="center"/>
          </w:tcPr>
          <w:p w14:paraId="2FFFE37E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2个</w:t>
            </w:r>
          </w:p>
        </w:tc>
        <w:tc>
          <w:tcPr>
            <w:tcW w:w="1118" w:type="dxa"/>
            <w:vAlign w:val="center"/>
          </w:tcPr>
          <w:p w14:paraId="63247E0E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19" w:type="dxa"/>
            <w:vAlign w:val="center"/>
          </w:tcPr>
          <w:p w14:paraId="40862D45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19" w:type="dxa"/>
            <w:vAlign w:val="center"/>
          </w:tcPr>
          <w:p w14:paraId="24805D95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 w14:paraId="43B692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7" w:type="dxa"/>
            <w:shd w:val="clear" w:color="auto" w:fill="auto"/>
            <w:vAlign w:val="center"/>
          </w:tcPr>
          <w:p w14:paraId="5D75616F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二</w:t>
            </w:r>
          </w:p>
        </w:tc>
        <w:tc>
          <w:tcPr>
            <w:tcW w:w="1578" w:type="dxa"/>
            <w:shd w:val="clear" w:color="auto" w:fill="auto"/>
            <w:vAlign w:val="center"/>
          </w:tcPr>
          <w:p w14:paraId="4480A846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超声波检测仪</w:t>
            </w:r>
          </w:p>
        </w:tc>
        <w:tc>
          <w:tcPr>
            <w:tcW w:w="2117" w:type="dxa"/>
            <w:shd w:val="clear" w:color="auto" w:fill="auto"/>
            <w:vAlign w:val="center"/>
          </w:tcPr>
          <w:p w14:paraId="5135F996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EPOCH 650（含DGS）</w:t>
            </w:r>
          </w:p>
        </w:tc>
        <w:tc>
          <w:tcPr>
            <w:tcW w:w="1118" w:type="dxa"/>
            <w:shd w:val="clear" w:color="auto" w:fill="auto"/>
            <w:vAlign w:val="center"/>
          </w:tcPr>
          <w:p w14:paraId="133AF469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3台</w:t>
            </w:r>
          </w:p>
        </w:tc>
        <w:tc>
          <w:tcPr>
            <w:tcW w:w="1118" w:type="dxa"/>
            <w:vAlign w:val="center"/>
          </w:tcPr>
          <w:p w14:paraId="381768E7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19" w:type="dxa"/>
            <w:vAlign w:val="center"/>
          </w:tcPr>
          <w:p w14:paraId="1521C917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19" w:type="dxa"/>
            <w:vAlign w:val="center"/>
          </w:tcPr>
          <w:p w14:paraId="0662014C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 w14:paraId="001031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77" w:type="dxa"/>
            <w:shd w:val="clear" w:color="auto" w:fill="auto"/>
            <w:vAlign w:val="center"/>
          </w:tcPr>
          <w:p w14:paraId="03B14D69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三</w:t>
            </w:r>
          </w:p>
        </w:tc>
        <w:tc>
          <w:tcPr>
            <w:tcW w:w="1578" w:type="dxa"/>
            <w:shd w:val="clear" w:color="auto" w:fill="auto"/>
            <w:vAlign w:val="center"/>
          </w:tcPr>
          <w:p w14:paraId="3BF2A427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磁粉检测仪</w:t>
            </w:r>
          </w:p>
        </w:tc>
        <w:tc>
          <w:tcPr>
            <w:tcW w:w="2117" w:type="dxa"/>
            <w:shd w:val="clear" w:color="auto" w:fill="auto"/>
            <w:vAlign w:val="center"/>
          </w:tcPr>
          <w:p w14:paraId="0FD2B918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ZCM-DA1203B</w:t>
            </w:r>
          </w:p>
        </w:tc>
        <w:tc>
          <w:tcPr>
            <w:tcW w:w="1118" w:type="dxa"/>
            <w:shd w:val="clear" w:color="auto" w:fill="auto"/>
            <w:vAlign w:val="center"/>
          </w:tcPr>
          <w:p w14:paraId="6002C7BF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Cs w:val="21"/>
                <w:lang w:val="en-US" w:eastAsia="zh-CN"/>
              </w:rPr>
              <w:t>3台</w:t>
            </w:r>
          </w:p>
        </w:tc>
        <w:tc>
          <w:tcPr>
            <w:tcW w:w="1118" w:type="dxa"/>
            <w:vAlign w:val="center"/>
          </w:tcPr>
          <w:p w14:paraId="61C718C6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19" w:type="dxa"/>
            <w:vAlign w:val="center"/>
          </w:tcPr>
          <w:p w14:paraId="5C582B26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119" w:type="dxa"/>
            <w:vAlign w:val="center"/>
          </w:tcPr>
          <w:p w14:paraId="26B9C613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 w14:paraId="095BDE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90" w:type="dxa"/>
            <w:gridSpan w:val="4"/>
            <w:vAlign w:val="center"/>
          </w:tcPr>
          <w:p w14:paraId="62F92B91">
            <w:pPr>
              <w:spacing w:line="360" w:lineRule="exact"/>
              <w:ind w:firstLine="0" w:firstLineChars="0"/>
              <w:jc w:val="center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bCs/>
                <w:szCs w:val="21"/>
              </w:rPr>
              <w:t>报价</w:t>
            </w:r>
            <w:r>
              <w:rPr>
                <w:rFonts w:ascii="仿宋" w:hAnsi="仿宋" w:eastAsia="仿宋"/>
                <w:bCs/>
                <w:szCs w:val="21"/>
              </w:rPr>
              <w:t>总价（</w:t>
            </w:r>
            <w:r>
              <w:rPr>
                <w:rFonts w:ascii="仿宋" w:hAnsi="仿宋" w:eastAsia="仿宋"/>
                <w:szCs w:val="21"/>
              </w:rPr>
              <w:t>人民币</w:t>
            </w:r>
            <w:r>
              <w:rPr>
                <w:rFonts w:ascii="仿宋" w:hAnsi="仿宋" w:eastAsia="仿宋"/>
                <w:bCs/>
                <w:szCs w:val="21"/>
              </w:rPr>
              <w:t>）</w:t>
            </w:r>
          </w:p>
        </w:tc>
        <w:tc>
          <w:tcPr>
            <w:tcW w:w="3356" w:type="dxa"/>
            <w:gridSpan w:val="3"/>
            <w:shd w:val="clear" w:color="auto" w:fill="auto"/>
            <w:vAlign w:val="center"/>
          </w:tcPr>
          <w:p w14:paraId="3E7B670C"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</w:tbl>
    <w:p w14:paraId="2DABD04C">
      <w:pPr>
        <w:pStyle w:val="7"/>
        <w:rPr>
          <w:rFonts w:ascii="仿宋" w:hAnsi="仿宋" w:eastAsia="仿宋"/>
        </w:rPr>
      </w:pPr>
    </w:p>
    <w:p w14:paraId="5FCCB752">
      <w:pPr>
        <w:adjustRightInd/>
        <w:snapToGrid/>
        <w:spacing w:line="240" w:lineRule="auto"/>
        <w:rPr>
          <w:rFonts w:ascii="仿宋" w:hAnsi="仿宋" w:eastAsia="仿宋"/>
          <w:szCs w:val="21"/>
        </w:rPr>
      </w:pPr>
    </w:p>
    <w:p w14:paraId="16F34948">
      <w:pPr>
        <w:rPr>
          <w:rFonts w:ascii="仿宋" w:hAnsi="仿宋" w:eastAsia="仿宋"/>
          <w:szCs w:val="21"/>
        </w:rPr>
      </w:pPr>
    </w:p>
    <w:p w14:paraId="0C8D0706">
      <w:pPr>
        <w:rPr>
          <w:rFonts w:ascii="仿宋" w:hAnsi="仿宋" w:eastAsia="仿宋"/>
          <w:szCs w:val="21"/>
        </w:rPr>
      </w:pPr>
    </w:p>
    <w:p w14:paraId="0E9EF64D">
      <w:pPr>
        <w:ind w:firstLine="2730" w:firstLineChars="1300"/>
        <w:rPr>
          <w:rFonts w:ascii="仿宋" w:hAnsi="仿宋" w:eastAsia="仿宋"/>
          <w:szCs w:val="21"/>
        </w:rPr>
      </w:pPr>
      <w:r>
        <w:rPr>
          <w:rFonts w:ascii="仿宋" w:hAnsi="仿宋" w:eastAsia="仿宋"/>
          <w:szCs w:val="21"/>
        </w:rPr>
        <w:t>供应商：</w:t>
      </w:r>
      <w:r>
        <w:rPr>
          <w:rFonts w:ascii="仿宋" w:hAnsi="仿宋" w:eastAsia="仿宋"/>
          <w:szCs w:val="21"/>
          <w:u w:val="single"/>
        </w:rPr>
        <w:t xml:space="preserve">          单位名称             </w:t>
      </w:r>
      <w:r>
        <w:rPr>
          <w:rFonts w:ascii="仿宋" w:hAnsi="仿宋" w:eastAsia="仿宋"/>
          <w:szCs w:val="21"/>
        </w:rPr>
        <w:t>（公章）</w:t>
      </w:r>
    </w:p>
    <w:p w14:paraId="0A7A8BBC">
      <w:pPr>
        <w:ind w:firstLine="2730" w:firstLineChars="1300"/>
        <w:rPr>
          <w:rFonts w:ascii="仿宋" w:hAnsi="仿宋" w:eastAsia="仿宋"/>
          <w:szCs w:val="21"/>
        </w:rPr>
      </w:pPr>
      <w:r>
        <w:rPr>
          <w:rFonts w:ascii="仿宋" w:hAnsi="仿宋" w:eastAsia="仿宋"/>
          <w:szCs w:val="21"/>
        </w:rPr>
        <w:t>法定代表人（或授权委托人）：</w:t>
      </w:r>
      <w:r>
        <w:rPr>
          <w:rFonts w:ascii="仿宋" w:hAnsi="仿宋" w:eastAsia="仿宋"/>
          <w:szCs w:val="21"/>
          <w:u w:val="single"/>
        </w:rPr>
        <w:t xml:space="preserve">             </w:t>
      </w:r>
      <w:r>
        <w:rPr>
          <w:rFonts w:ascii="仿宋" w:hAnsi="仿宋" w:eastAsia="仿宋"/>
          <w:szCs w:val="21"/>
        </w:rPr>
        <w:t>（签字或盖章）</w:t>
      </w:r>
    </w:p>
    <w:p w14:paraId="5CF2EF8E">
      <w:pPr>
        <w:pStyle w:val="7"/>
        <w:ind w:firstLine="2730" w:firstLineChars="1300"/>
        <w:rPr>
          <w:rFonts w:ascii="仿宋" w:hAnsi="仿宋" w:eastAsia="仿宋"/>
          <w:sz w:val="21"/>
          <w:szCs w:val="21"/>
        </w:rPr>
      </w:pPr>
      <w:r>
        <w:rPr>
          <w:rFonts w:ascii="仿宋" w:hAnsi="仿宋" w:eastAsia="仿宋"/>
          <w:sz w:val="21"/>
          <w:szCs w:val="21"/>
        </w:rPr>
        <w:t>日期：</w:t>
      </w:r>
      <w:r>
        <w:rPr>
          <w:rFonts w:ascii="仿宋" w:hAnsi="仿宋" w:eastAsia="仿宋"/>
          <w:sz w:val="21"/>
          <w:szCs w:val="21"/>
          <w:u w:val="single"/>
        </w:rPr>
        <w:t xml:space="preserve">         </w:t>
      </w:r>
      <w:r>
        <w:rPr>
          <w:rFonts w:ascii="仿宋" w:hAnsi="仿宋" w:eastAsia="仿宋"/>
          <w:sz w:val="21"/>
          <w:szCs w:val="21"/>
        </w:rPr>
        <w:t>年</w:t>
      </w:r>
      <w:r>
        <w:rPr>
          <w:rFonts w:ascii="仿宋" w:hAnsi="仿宋" w:eastAsia="仿宋"/>
          <w:sz w:val="21"/>
          <w:szCs w:val="21"/>
          <w:u w:val="single"/>
        </w:rPr>
        <w:t xml:space="preserve">         </w:t>
      </w:r>
      <w:r>
        <w:rPr>
          <w:rFonts w:ascii="仿宋" w:hAnsi="仿宋" w:eastAsia="仿宋"/>
          <w:sz w:val="21"/>
          <w:szCs w:val="21"/>
        </w:rPr>
        <w:t>月</w:t>
      </w:r>
      <w:r>
        <w:rPr>
          <w:rFonts w:ascii="仿宋" w:hAnsi="仿宋" w:eastAsia="仿宋"/>
          <w:sz w:val="21"/>
          <w:szCs w:val="21"/>
          <w:u w:val="single"/>
        </w:rPr>
        <w:t xml:space="preserve">         </w:t>
      </w:r>
      <w:r>
        <w:rPr>
          <w:rFonts w:ascii="仿宋" w:hAnsi="仿宋" w:eastAsia="仿宋"/>
          <w:sz w:val="21"/>
          <w:szCs w:val="21"/>
        </w:rPr>
        <w:t>日</w:t>
      </w:r>
    </w:p>
    <w:p w14:paraId="58EA5871">
      <w:pPr>
        <w:pStyle w:val="7"/>
        <w:rPr>
          <w:rFonts w:ascii="仿宋" w:hAnsi="仿宋" w:eastAsia="仿宋"/>
          <w:szCs w:val="21"/>
        </w:rPr>
      </w:pPr>
    </w:p>
    <w:p w14:paraId="20806F7A">
      <w:pPr>
        <w:pStyle w:val="7"/>
        <w:rPr>
          <w:rFonts w:ascii="仿宋" w:hAnsi="仿宋" w:eastAsia="仿宋"/>
          <w:szCs w:val="21"/>
        </w:rPr>
      </w:pPr>
    </w:p>
    <w:p w14:paraId="09E2BC51">
      <w:pPr>
        <w:pStyle w:val="7"/>
        <w:rPr>
          <w:rFonts w:ascii="仿宋" w:hAnsi="仿宋" w:eastAsia="仿宋"/>
          <w:szCs w:val="21"/>
        </w:rPr>
      </w:pPr>
    </w:p>
    <w:p w14:paraId="306AE640">
      <w:pPr>
        <w:pStyle w:val="7"/>
        <w:rPr>
          <w:rFonts w:ascii="仿宋" w:hAnsi="仿宋" w:eastAsia="仿宋"/>
          <w:szCs w:val="21"/>
        </w:rPr>
      </w:pPr>
    </w:p>
    <w:p w14:paraId="41699858">
      <w:pPr>
        <w:pStyle w:val="7"/>
        <w:rPr>
          <w:rFonts w:ascii="仿宋" w:hAnsi="仿宋" w:eastAsia="仿宋"/>
          <w:szCs w:val="21"/>
        </w:rPr>
      </w:pPr>
    </w:p>
    <w:p w14:paraId="6C4BDD5F">
      <w:pPr>
        <w:rPr>
          <w:rFonts w:ascii="仿宋" w:hAnsi="仿宋" w:eastAsia="仿宋"/>
          <w:szCs w:val="21"/>
        </w:rPr>
      </w:pPr>
      <w:r>
        <w:rPr>
          <w:rFonts w:ascii="仿宋" w:hAnsi="仿宋" w:eastAsia="仿宋"/>
          <w:szCs w:val="21"/>
        </w:rPr>
        <w:br w:type="page"/>
      </w:r>
    </w:p>
    <w:p w14:paraId="485C91CB">
      <w:pPr>
        <w:spacing w:line="336" w:lineRule="auto"/>
        <w:ind w:firstLine="0" w:firstLineChars="0"/>
        <w:outlineLvl w:val="1"/>
        <w:rPr>
          <w:rFonts w:ascii="仿宋" w:hAnsi="仿宋" w:eastAsia="仿宋"/>
          <w:b/>
          <w:sz w:val="24"/>
          <w:szCs w:val="24"/>
        </w:rPr>
      </w:pPr>
      <w:bookmarkStart w:id="9" w:name="_Toc26846208"/>
      <w:bookmarkStart w:id="10" w:name="_Toc20202833"/>
      <w:bookmarkStart w:id="11" w:name="_Toc11076839"/>
      <w:bookmarkStart w:id="12" w:name="_Toc389013542"/>
      <w:bookmarkStart w:id="13" w:name="_Toc10048"/>
      <w:r>
        <w:rPr>
          <w:rFonts w:hint="eastAsia" w:ascii="仿宋" w:hAnsi="仿宋" w:eastAsia="仿宋"/>
          <w:b/>
          <w:sz w:val="24"/>
          <w:szCs w:val="24"/>
        </w:rPr>
        <w:t>附件</w:t>
      </w:r>
      <w:r>
        <w:rPr>
          <w:rFonts w:hint="eastAsia" w:ascii="仿宋" w:hAnsi="仿宋" w:eastAsia="仿宋"/>
          <w:b/>
          <w:sz w:val="24"/>
          <w:szCs w:val="24"/>
          <w:lang w:val="en-US" w:eastAsia="zh-CN"/>
        </w:rPr>
        <w:t>3</w:t>
      </w:r>
      <w:r>
        <w:rPr>
          <w:rFonts w:ascii="仿宋" w:hAnsi="仿宋" w:eastAsia="仿宋"/>
          <w:b/>
          <w:sz w:val="24"/>
          <w:szCs w:val="24"/>
        </w:rPr>
        <w:t>供应商资格证明文件</w:t>
      </w:r>
      <w:bookmarkEnd w:id="9"/>
      <w:bookmarkEnd w:id="10"/>
      <w:bookmarkEnd w:id="11"/>
      <w:bookmarkEnd w:id="12"/>
      <w:bookmarkEnd w:id="13"/>
    </w:p>
    <w:p w14:paraId="6F0D1C2B">
      <w:pPr>
        <w:spacing w:line="336" w:lineRule="auto"/>
        <w:ind w:firstLine="0" w:firstLineChars="0"/>
        <w:outlineLvl w:val="2"/>
        <w:rPr>
          <w:rFonts w:ascii="仿宋" w:hAnsi="仿宋" w:eastAsia="仿宋"/>
        </w:rPr>
      </w:pPr>
      <w:r>
        <w:rPr>
          <w:rFonts w:hint="eastAsia" w:ascii="仿宋" w:hAnsi="仿宋" w:eastAsia="仿宋"/>
          <w:lang w:val="en-US" w:eastAsia="zh-CN"/>
        </w:rPr>
        <w:t>1.</w:t>
      </w:r>
      <w:r>
        <w:rPr>
          <w:rFonts w:ascii="仿宋" w:hAnsi="仿宋" w:eastAsia="仿宋"/>
        </w:rPr>
        <w:t>营业执照副本、组织机构代码证、税务登记证或三证</w:t>
      </w:r>
      <w:r>
        <w:rPr>
          <w:rFonts w:hint="eastAsia" w:ascii="仿宋" w:hAnsi="仿宋" w:eastAsia="仿宋"/>
        </w:rPr>
        <w:t>合一</w:t>
      </w:r>
      <w:r>
        <w:rPr>
          <w:rFonts w:ascii="仿宋" w:hAnsi="仿宋" w:eastAsia="仿宋"/>
        </w:rPr>
        <w:t>的</w:t>
      </w:r>
      <w:r>
        <w:rPr>
          <w:rFonts w:hint="eastAsia" w:ascii="仿宋" w:hAnsi="仿宋" w:eastAsia="仿宋"/>
        </w:rPr>
        <w:t>营业</w:t>
      </w:r>
      <w:r>
        <w:rPr>
          <w:rFonts w:ascii="仿宋" w:hAnsi="仿宋" w:eastAsia="仿宋"/>
        </w:rPr>
        <w:t>执照副本</w:t>
      </w:r>
      <w:r>
        <w:rPr>
          <w:rFonts w:hint="eastAsia" w:ascii="仿宋" w:hAnsi="仿宋" w:eastAsia="仿宋"/>
          <w:lang w:eastAsia="zh-CN"/>
        </w:rPr>
        <w:t>复印件（加盖公章）</w:t>
      </w:r>
      <w:r>
        <w:rPr>
          <w:rFonts w:hint="eastAsia" w:ascii="仿宋" w:hAnsi="仿宋" w:eastAsia="仿宋"/>
          <w:lang w:val="en-US" w:eastAsia="zh-CN"/>
        </w:rPr>
        <w:t>。</w:t>
      </w:r>
    </w:p>
    <w:p w14:paraId="019E6E22">
      <w:pPr>
        <w:ind w:left="0" w:leftChars="0" w:firstLine="0" w:firstLineChars="0"/>
        <w:rPr>
          <w:rFonts w:hint="eastAsia" w:ascii="仿宋" w:hAnsi="仿宋" w:eastAsia="仿宋"/>
          <w:lang w:val="en-US" w:eastAsia="zh-CN"/>
        </w:rPr>
      </w:pPr>
      <w:r>
        <w:rPr>
          <w:rFonts w:hint="eastAsia" w:ascii="仿宋" w:hAnsi="仿宋" w:eastAsia="仿宋"/>
          <w:lang w:val="en-US" w:eastAsia="zh-CN"/>
        </w:rPr>
        <w:t>2.设备经销代理授权。</w:t>
      </w:r>
    </w:p>
    <w:p w14:paraId="2200B891">
      <w:pPr>
        <w:ind w:left="0" w:leftChars="0" w:firstLine="0" w:firstLineChars="0"/>
        <w:rPr>
          <w:rFonts w:hint="default" w:ascii="仿宋" w:hAnsi="仿宋" w:eastAsia="仿宋"/>
          <w:lang w:val="en-US" w:eastAsia="zh-CN"/>
        </w:rPr>
      </w:pPr>
      <w:r>
        <w:rPr>
          <w:rFonts w:hint="eastAsia" w:ascii="仿宋" w:hAnsi="仿宋" w:eastAsia="仿宋"/>
          <w:lang w:val="en-US" w:eastAsia="zh-CN"/>
        </w:rPr>
        <w:t>3.</w:t>
      </w:r>
      <w:r>
        <w:rPr>
          <w:rFonts w:ascii="仿宋" w:hAnsi="仿宋" w:eastAsia="仿宋"/>
          <w:lang w:val="en-US" w:eastAsia="zh-CN"/>
        </w:rPr>
        <w:t>供应商“信用中国 ”网站</w:t>
      </w:r>
      <w:r>
        <w:rPr>
          <w:rFonts w:hint="eastAsia" w:ascii="仿宋" w:hAnsi="仿宋" w:eastAsia="仿宋"/>
          <w:lang w:val="en-US" w:eastAsia="zh-CN"/>
        </w:rPr>
        <w:t>查询证明。</w:t>
      </w:r>
    </w:p>
    <w:p w14:paraId="2B243E5A">
      <w:pPr>
        <w:spacing w:line="336" w:lineRule="auto"/>
        <w:ind w:firstLine="0" w:firstLineChars="0"/>
        <w:outlineLvl w:val="2"/>
        <w:rPr>
          <w:rFonts w:hint="eastAsia" w:ascii="仿宋" w:hAnsi="仿宋" w:eastAsia="仿宋"/>
          <w:b/>
          <w:sz w:val="24"/>
          <w:szCs w:val="24"/>
        </w:rPr>
      </w:pPr>
      <w:bookmarkStart w:id="14" w:name="_Toc52800794"/>
      <w:bookmarkStart w:id="15" w:name="_Toc52815692"/>
      <w:bookmarkStart w:id="16" w:name="_Toc27639736"/>
      <w:bookmarkStart w:id="17" w:name="_Toc389013550"/>
      <w:bookmarkStart w:id="18" w:name="_Toc518721338"/>
      <w:bookmarkStart w:id="19" w:name="_Toc21463"/>
      <w:bookmarkStart w:id="20" w:name="_Toc29190"/>
      <w:bookmarkStart w:id="21" w:name="_Toc456706463"/>
      <w:bookmarkStart w:id="22" w:name="_Toc55274764"/>
      <w:bookmarkStart w:id="23" w:name="_Toc3857"/>
      <w:bookmarkStart w:id="24" w:name="_Toc16708"/>
    </w:p>
    <w:p w14:paraId="26F16EAE">
      <w:pPr>
        <w:spacing w:line="336" w:lineRule="auto"/>
        <w:ind w:firstLine="0" w:firstLineChars="0"/>
        <w:outlineLvl w:val="2"/>
        <w:rPr>
          <w:rFonts w:hint="eastAsia" w:ascii="仿宋" w:hAnsi="仿宋" w:eastAsia="仿宋"/>
          <w:b/>
          <w:sz w:val="24"/>
          <w:szCs w:val="24"/>
        </w:rPr>
      </w:pPr>
    </w:p>
    <w:p w14:paraId="119F1C3C">
      <w:pPr>
        <w:spacing w:line="336" w:lineRule="auto"/>
        <w:ind w:firstLine="0" w:firstLineChars="0"/>
        <w:outlineLvl w:val="2"/>
        <w:rPr>
          <w:rFonts w:hint="eastAsia" w:ascii="仿宋" w:hAnsi="仿宋" w:eastAsia="仿宋"/>
          <w:b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b/>
          <w:sz w:val="24"/>
          <w:szCs w:val="24"/>
        </w:rPr>
        <w:t>附件</w:t>
      </w:r>
      <w:r>
        <w:rPr>
          <w:rFonts w:hint="eastAsia" w:ascii="仿宋" w:hAnsi="仿宋" w:eastAsia="仿宋"/>
          <w:b/>
          <w:sz w:val="24"/>
          <w:szCs w:val="24"/>
          <w:lang w:val="en-US" w:eastAsia="zh-CN"/>
        </w:rPr>
        <w:t>4</w:t>
      </w:r>
    </w:p>
    <w:p w14:paraId="33544942">
      <w:pPr>
        <w:spacing w:line="336" w:lineRule="auto"/>
        <w:ind w:firstLine="0" w:firstLineChars="0"/>
        <w:outlineLvl w:val="2"/>
        <w:rPr>
          <w:rFonts w:hint="default" w:ascii="仿宋" w:hAnsi="仿宋" w:eastAsia="仿宋"/>
          <w:lang w:val="en-US" w:eastAsia="zh-CN"/>
        </w:rPr>
      </w:pPr>
      <w:r>
        <w:rPr>
          <w:rFonts w:hint="eastAsia" w:ascii="仿宋" w:hAnsi="仿宋" w:eastAsia="仿宋"/>
          <w:lang w:val="en-US" w:eastAsia="zh-CN"/>
        </w:rPr>
        <w:t>1.</w:t>
      </w:r>
      <w:r>
        <w:rPr>
          <w:rFonts w:ascii="仿宋" w:hAnsi="仿宋" w:eastAsia="仿宋"/>
        </w:rPr>
        <w:t>设备</w:t>
      </w:r>
      <w:r>
        <w:rPr>
          <w:rFonts w:hint="eastAsia" w:ascii="仿宋" w:hAnsi="仿宋" w:eastAsia="仿宋"/>
          <w:lang w:val="en-US" w:eastAsia="zh-CN"/>
        </w:rPr>
        <w:t>性能</w:t>
      </w:r>
      <w:r>
        <w:rPr>
          <w:rFonts w:ascii="仿宋" w:hAnsi="仿宋" w:eastAsia="仿宋"/>
        </w:rPr>
        <w:t>参数</w:t>
      </w:r>
      <w:r>
        <w:rPr>
          <w:rFonts w:hint="eastAsia" w:ascii="仿宋" w:hAnsi="仿宋" w:eastAsia="仿宋"/>
          <w:lang w:eastAsia="zh-CN"/>
        </w:rPr>
        <w:t>符合</w:t>
      </w:r>
      <w:r>
        <w:rPr>
          <w:rFonts w:hint="eastAsia" w:ascii="仿宋" w:hAnsi="仿宋" w:eastAsia="仿宋"/>
          <w:lang w:val="en-US" w:eastAsia="zh-CN"/>
        </w:rPr>
        <w:t>性偏差对应表（自制）。</w:t>
      </w:r>
    </w:p>
    <w:p w14:paraId="431B7815">
      <w:pPr>
        <w:spacing w:line="336" w:lineRule="auto"/>
        <w:ind w:firstLine="0" w:firstLineChars="0"/>
        <w:outlineLvl w:val="2"/>
        <w:rPr>
          <w:rFonts w:ascii="仿宋" w:hAnsi="仿宋" w:eastAsia="仿宋"/>
          <w:szCs w:val="21"/>
        </w:rPr>
      </w:pPr>
      <w:r>
        <w:rPr>
          <w:rFonts w:hint="eastAsia" w:ascii="仿宋" w:hAnsi="仿宋" w:eastAsia="仿宋"/>
          <w:lang w:val="en-US" w:eastAsia="zh-CN"/>
        </w:rPr>
        <w:t>2.</w:t>
      </w:r>
      <w:r>
        <w:rPr>
          <w:rFonts w:ascii="仿宋" w:hAnsi="仿宋" w:eastAsia="仿宋"/>
        </w:rPr>
        <w:t>技术文件</w:t>
      </w:r>
      <w:r>
        <w:rPr>
          <w:rFonts w:hint="eastAsia" w:ascii="仿宋" w:hAnsi="仿宋" w:eastAsia="仿宋"/>
          <w:lang w:eastAsia="zh-CN"/>
        </w:rPr>
        <w:t>（</w:t>
      </w:r>
      <w:r>
        <w:rPr>
          <w:rFonts w:ascii="仿宋" w:hAnsi="仿宋" w:eastAsia="仿宋"/>
        </w:rPr>
        <w:t>产品的彩页等详细技术资料</w:t>
      </w:r>
      <w:r>
        <w:rPr>
          <w:rFonts w:hint="eastAsia" w:ascii="仿宋" w:hAnsi="仿宋" w:eastAsia="仿宋"/>
          <w:lang w:eastAsia="zh-CN"/>
        </w:rPr>
        <w:t>）</w:t>
      </w:r>
      <w:r>
        <w:rPr>
          <w:rFonts w:hint="eastAsia" w:ascii="仿宋" w:hAnsi="仿宋" w:eastAsia="仿宋"/>
          <w:lang w:val="en-US" w:eastAsia="zh-CN"/>
        </w:rPr>
        <w:t>及</w:t>
      </w:r>
      <w:r>
        <w:rPr>
          <w:rFonts w:ascii="仿宋" w:hAnsi="仿宋" w:eastAsia="仿宋"/>
          <w:szCs w:val="21"/>
        </w:rPr>
        <w:t>供应商认为需要提供的其他材料。</w:t>
      </w:r>
    </w:p>
    <w:p w14:paraId="0ABBE65D">
      <w:pPr>
        <w:ind w:firstLine="422"/>
        <w:rPr>
          <w:rFonts w:ascii="仿宋" w:hAnsi="仿宋" w:eastAsia="仿宋"/>
          <w:b/>
        </w:rPr>
      </w:pPr>
    </w:p>
    <w:p w14:paraId="1620568D">
      <w:pPr>
        <w:rPr>
          <w:rFonts w:ascii="仿宋" w:hAnsi="仿宋" w:eastAsia="仿宋"/>
        </w:rPr>
      </w:pPr>
    </w:p>
    <w:p w14:paraId="6AF72BB9">
      <w:pPr>
        <w:rPr>
          <w:rFonts w:ascii="仿宋" w:hAnsi="仿宋" w:eastAsia="仿宋"/>
        </w:rPr>
      </w:pPr>
    </w:p>
    <w:p w14:paraId="320C7831">
      <w:pPr>
        <w:tabs>
          <w:tab w:val="center" w:pos="4745"/>
        </w:tabs>
        <w:rPr>
          <w:rFonts w:ascii="仿宋" w:hAnsi="仿宋" w:eastAsia="仿宋"/>
        </w:rPr>
      </w:pPr>
      <w:r>
        <w:rPr>
          <w:rFonts w:ascii="仿宋" w:hAnsi="仿宋" w:eastAsia="仿宋"/>
        </w:rPr>
        <w:tab/>
      </w:r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</w:p>
    <w:p w14:paraId="3C537CC2">
      <w:bookmarkStart w:id="25" w:name="_GoBack"/>
      <w:bookmarkEnd w:id="25"/>
    </w:p>
    <w:sectPr>
      <w:headerReference r:id="rId5" w:type="default"/>
      <w:pgSz w:w="11906" w:h="16838"/>
      <w:pgMar w:top="1588" w:right="1588" w:bottom="1588" w:left="1588" w:header="907" w:footer="907" w:gutter="0"/>
      <w:cols w:space="425" w:num="1"/>
      <w:docGrid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782567">
    <w:pPr>
      <w:pBdr>
        <w:bottom w:val="none" w:color="auto" w:sz="0" w:space="1"/>
      </w:pBdr>
      <w:spacing w:line="240" w:lineRule="auto"/>
      <w:ind w:firstLine="0" w:firstLineChars="0"/>
      <w:jc w:val="left"/>
      <w:rPr>
        <w:rFonts w:ascii="宋体" w:cs="Arial"/>
        <w:b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1563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spacing w:line="360" w:lineRule="auto"/>
      <w:ind w:firstLine="420" w:firstLineChars="200"/>
      <w:jc w:val="both"/>
    </w:pPr>
    <w:rPr>
      <w:rFonts w:ascii="Times New Roman" w:hAnsi="宋体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jc w:val="center"/>
    </w:pPr>
    <w:rPr>
      <w:rFonts w:ascii="Arial" w:hAnsi="Arial"/>
      <w:kern w:val="0"/>
      <w:sz w:val="20"/>
      <w:lang w:val="zh-CN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320"/>
        <w:tab w:val="right" w:pos="8640"/>
      </w:tabs>
      <w:spacing w:line="240" w:lineRule="atLeast"/>
      <w:jc w:val="center"/>
      <w:textAlignment w:val="baseline"/>
    </w:pPr>
    <w:rPr>
      <w:rFonts w:ascii="Arial" w:hAnsi="Arial"/>
      <w:kern w:val="0"/>
      <w:sz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Default"/>
    <w:qFormat/>
    <w:uiPriority w:val="99"/>
    <w:pPr>
      <w:widowControl w:val="0"/>
      <w:autoSpaceDE w:val="0"/>
      <w:autoSpaceDN w:val="0"/>
      <w:adjustRightInd w:val="0"/>
    </w:pPr>
    <w:rPr>
      <w:rFonts w:ascii="宋体" w:hAnsi="Times New Roman" w:eastAsia="宋体" w:cs="Times New Roman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2026-01-04T08:10:56Z</dcterms:created>
  <dc:creator>Administrator</dc:creator>
  <cp:lastModifiedBy>万千风景</cp:lastModifiedBy>
  <dcterms:modified xsi:type="dcterms:W3CDTF">2026-01-04T08:11:03Z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eyJoZGlkIjoiMjk0NzczODY2MjYzNTI0YTg1NDE4ODcwYTdlZWM0ZTEiLCJ1c2VySWQiOiI0MzAyMTk1MzUifQ==</vt:lpwstr>
  </property>
  <property fmtid="{D5CDD505-2E9C-101B-9397-08002B2CF9AE}" pid="4" name="ICV">
    <vt:lpwstr>8220F181C3914C2681BE44737FC661A1_12</vt:lpwstr>
  </property>
</Properties>
</file>